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B" w:rsidRDefault="00525D3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PRIRODA I DRUŠTVO 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:rsidR="009D1181" w:rsidRDefault="009D1181" w:rsidP="009D1181">
      <w:pPr>
        <w:pStyle w:val="box459587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 </w:t>
      </w:r>
    </w:p>
    <w:p w:rsidR="009D1181" w:rsidRDefault="009D1181" w:rsidP="009D1181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p w:rsidR="009D1181" w:rsidRDefault="009D1181" w:rsidP="009D1181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  <w:r>
        <w:rPr>
          <w:rFonts w:ascii="Calibri" w:eastAsia="Calibri" w:hAnsi="Calibri"/>
          <w:b/>
          <w:bCs/>
          <w:sz w:val="28"/>
          <w:szCs w:val="28"/>
          <w:lang w:eastAsia="hr-HR"/>
        </w:rPr>
        <w:t xml:space="preserve">VREDNOVANJE  PISANIH  PROVJERA </w:t>
      </w:r>
    </w:p>
    <w:p w:rsidR="009D1181" w:rsidRDefault="009D1181" w:rsidP="009D1181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9D1181" w:rsidTr="00F94A70">
        <w:tc>
          <w:tcPr>
            <w:tcW w:w="2660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POSTOTAK</w:t>
            </w:r>
          </w:p>
        </w:tc>
        <w:tc>
          <w:tcPr>
            <w:tcW w:w="3544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OCJENA </w:t>
            </w:r>
          </w:p>
        </w:tc>
      </w:tr>
      <w:tr w:rsidR="009D1181" w:rsidTr="00F94A70">
        <w:tc>
          <w:tcPr>
            <w:tcW w:w="2660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90% - 100 %</w:t>
            </w:r>
          </w:p>
        </w:tc>
        <w:tc>
          <w:tcPr>
            <w:tcW w:w="3544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odličan (5)</w:t>
            </w:r>
          </w:p>
        </w:tc>
      </w:tr>
      <w:tr w:rsidR="009D1181" w:rsidTr="00F94A70">
        <w:tc>
          <w:tcPr>
            <w:tcW w:w="2660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80% - 89%</w:t>
            </w:r>
          </w:p>
        </w:tc>
        <w:tc>
          <w:tcPr>
            <w:tcW w:w="3544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vrlo dobar (4)</w:t>
            </w:r>
          </w:p>
        </w:tc>
      </w:tr>
      <w:tr w:rsidR="009D1181" w:rsidTr="00F94A70">
        <w:tc>
          <w:tcPr>
            <w:tcW w:w="2660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65% - 79%</w:t>
            </w:r>
          </w:p>
        </w:tc>
        <w:tc>
          <w:tcPr>
            <w:tcW w:w="3544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dobar (3)</w:t>
            </w:r>
          </w:p>
        </w:tc>
      </w:tr>
      <w:tr w:rsidR="009D1181" w:rsidTr="00F94A70">
        <w:tc>
          <w:tcPr>
            <w:tcW w:w="2660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50% - 64%</w:t>
            </w:r>
          </w:p>
        </w:tc>
        <w:tc>
          <w:tcPr>
            <w:tcW w:w="3544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dovoljan (2)</w:t>
            </w:r>
          </w:p>
        </w:tc>
      </w:tr>
      <w:tr w:rsidR="009D1181" w:rsidTr="00F94A70">
        <w:tc>
          <w:tcPr>
            <w:tcW w:w="2660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0 % - 49% </w:t>
            </w:r>
          </w:p>
        </w:tc>
        <w:tc>
          <w:tcPr>
            <w:tcW w:w="3544" w:type="dxa"/>
          </w:tcPr>
          <w:p w:rsidR="009D1181" w:rsidRDefault="009D118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nedovoljan (1)</w:t>
            </w:r>
          </w:p>
        </w:tc>
      </w:tr>
    </w:tbl>
    <w:p w:rsidR="009D1181" w:rsidRDefault="009D1181" w:rsidP="009D1181">
      <w:pPr>
        <w:widowControl w:val="0"/>
        <w:autoSpaceDE w:val="0"/>
        <w:autoSpaceDN w:val="0"/>
        <w:spacing w:after="100" w:afterAutospacing="1"/>
        <w:rPr>
          <w:rFonts w:ascii="Arial" w:eastAsia="Liberation Serif" w:hAnsi="Arial" w:cs="Arial"/>
          <w:lang w:eastAsia="de-DE" w:bidi="de-DE"/>
        </w:rPr>
      </w:pPr>
    </w:p>
    <w:p w:rsidR="000B32BE" w:rsidRDefault="000B32BE" w:rsidP="000B32B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Organiziranost svijeta oko nas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PID OŠ A.4.1.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Učenik zaključuje o organiziranosti ljudskoga tijela i životnih zajednica.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Istražuje organiziranost biljaka i životinja na primjeru životne zajednice.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Razlikuje životne uvjete u životnoj zajednici i povezuje ih s njezinom organiziranošću.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Istražuje ljudsko tijelo kao cjelinu i dovodi u vezu zajedničku ulogu pojedinih dijelova tijela (organi i organski sustavi). </w:t>
            </w: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lastRenderedPageBreak/>
              <w:t>Objašnjava povezanost staništa i biljnoga i životinjskoga svijeta te organiziranost životnih zajednica s obzirom na životne uvjete koji u njima vladaju.</w:t>
            </w:r>
            <w:r>
              <w:rPr>
                <w:rFonts w:ascii="Calibri" w:hAnsi="Calibri"/>
                <w:u w:color="000000"/>
              </w:rPr>
              <w:br/>
              <w:t>Na prikazu ljudskoga tijela (crtež, model, aplikacija i sl.) objašnjava međusobnu povezanost svih sustava organa.</w:t>
            </w:r>
            <w:r>
              <w:rPr>
                <w:rFonts w:ascii="Calibri" w:hAnsi="Calibri"/>
                <w:u w:color="000000"/>
              </w:rPr>
              <w:br/>
              <w:t>Razumije da je svaki organ važan za djelovanje cijeloga organizma te da je ljudsko tijelo cjelina o kojoj se trebamo brinuti.</w:t>
            </w:r>
            <w:r>
              <w:rPr>
                <w:rFonts w:ascii="Calibri" w:hAnsi="Calibri"/>
                <w:u w:color="000000"/>
              </w:rPr>
              <w:br/>
              <w:t>Vitalni organi skriveni su u unutrašnjosti tijela kako se ne bi mogli lako oštetiti (mozak je skriven u lubanji, srce i pluća u prsnome košu, iza rebara...).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organiziranost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organiziranost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Analizira organiziranost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Zaključuje o organiziranosti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5F7E4D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NAPOMENA: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imenuje dijelove ljudskog organizma (organe, sustavi organa), služi se pojmovima, ali nije potrebna reprodukcija definicija niti njihovo provjeravanje. </w:t>
            </w:r>
          </w:p>
        </w:tc>
      </w:tr>
    </w:tbl>
    <w:p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PID OŠ A.4.2.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Učenik obrazlaže i prikazuje vremenski slijed događaja te organizira svoje vrijeme.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Objašnjava važnost organizacije vremena na vlastitim primjerima.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Oblikuje i organizira svoje vrijeme, planira svoje slobodno vrijeme (predviđa potrebno vrijeme za pisanje domaće zadaće i vrijeme za igru). </w:t>
            </w:r>
          </w:p>
          <w:p w:rsidR="00A329AB" w:rsidRDefault="00A329A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Učitelj potiče učenika na svrsishodno planiranje i korištenje slobodnoga vremena te na samovrednovanje svoga planiranja i mijenjanja ako se pokaže neučinkovitim.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Odabire tehnike organizacije svoga vremena: vremensku crtu, raspored obveza, kalendar, podsjetnik i sl.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vremenski slijed događaja i uz pomoć procjenjuje vrijeme potrebno za vlastite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vremenski slijed događaja i planira svoje vrijeme i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i prikazuje vremenski slijed događaja te procjenjuje i planira svoje vrijeme i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Prikazuje vremenski slijed događaja uočavajući njihovu uzročno-posljedičnu povezanost, organizira svoje vrijeme i vrednuje svoje planiranje. </w:t>
            </w:r>
          </w:p>
        </w:tc>
      </w:tr>
    </w:tbl>
    <w:p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A.4.3.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objašnjava organiziranost Republike Hrvatske i njezina nacionalna obilježja.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organiziranost Republike Hrvatske (predsjednik Republike Hrvatske, Vlada Republike Hrvatske, Hrvatski sabor) i istražuje njezine nacionalne simbole.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Čita geografsku kartu Republike Hrvatske s pomoću tumača znakova, pokazuje na njemu reljef ne oblike, mjesta, državne granice, navodi susjedne zemlje i sl. </w:t>
            </w: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geografskoj karti Republike Hrvatske pokazuje državne granice te imenuje države s kojima Republika Hrvatska graniči (Slovenija, Mađarska, Srbija, Bosna i Hercegovina, Crna Gora).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opisuje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5F7E4D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u neposrednome okružju ili čitajući geografsku kartu prepoznaje i razlikuje reljefne oblike: nizine, uzvisine, vode, otok, poluotok, obalu i dr. te pokazuje ih na karti. Nije potrebna reprodukcija i provjeravanje definicije pojma reljef. </w:t>
            </w:r>
          </w:p>
        </w:tc>
      </w:tr>
    </w:tbl>
    <w:p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0B32BE" w:rsidRDefault="000B32B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hr-HR" w:eastAsia="hr-HR"/>
        </w:rPr>
      </w:pPr>
      <w:r>
        <w:rPr>
          <w:rFonts w:ascii="Calibri" w:eastAsia="Calibri" w:hAnsi="Calibri" w:cs="Calibri"/>
          <w:u w:color="000000"/>
        </w:rPr>
        <w:br w:type="page"/>
      </w:r>
    </w:p>
    <w:p w:rsid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hAnsi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Promjene i odnosi</w:t>
      </w:r>
    </w:p>
    <w:p w:rsidR="00290C90" w:rsidRP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33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szCs w:val="22"/>
                <w:u w:color="231F20"/>
              </w:rPr>
              <w:t xml:space="preserve">PID OŠ B.4.1.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Učenik vrednuje važnost odgovornoga odnosa prema sebi, drugima i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Opisuje svoj rast i razvoj i uočava promjene na sebi. Odgovorno se ponaša prema sebi, drugima, svome zdravlju i zdravlju drugih. Zna komu se i kako obratiti ako je zabrinut zbog neprimjerenih sadržaja ili ponašanja u digitalnome okružju. Objašnjava primjereno postupanje prema javnoj i privatnoj imovini. Odgovorno se ponaša prema biljkama i životinjama u okolišu. Opisuje važnost odgovornoga odnosa prema prirodi radi zaštite živoga svijeta. Procjenjuje utjecaj čovjeka na biljke i životinje te njegovu ulogu u očuvanju ugroženih i zaštićenih vrsta.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Pr="000B32BE" w:rsidRDefault="00A329AB">
            <w:pPr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lastRenderedPageBreak/>
              <w:t xml:space="preserve">Uočava osobni rast i razvoj, promjene u pubertetu (u suradnji s liječnikom školske medicine). Uočava važnost brige za ljudsko zdravlje, prevencije nasilja, okružja za očuvanje tjelesnoga, ali i mentalnoga zdravlja (podrška obitelji, podrška osobama s invaliditetom, međugeneracijska pomoć, pomoć prijatelja), čuvanja od ozljeda...;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Razlikuje učestale bolesti učenika (npr. akutne bolesti,zarazne bolesti, nametnike kao uzročnike bolesti) i osnovne mjere zaštite. Objašnjava pozitivan i negativan utjecaj zvuka (npr. uspavanka, buka) i svjetlosti (npr. Sunce, laser, zaslon) na zdravlje.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Opisuje ugrožavajuće situacije i ponašanja koja ne treba trpjeti. Prepoznaje različite oblike zlostavljanja i svjesno i aktivno sudjeluje u njihovu sprečavanju (tjelesno, psihičko, vršnjačko, elektroničko, govor mržnje i sl.).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načine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Predlaže načine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Obrazlaže načine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Vrednuje važnost i načine odgovornoga te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:rsidTr="000B32BE">
        <w:trPr>
          <w:trHeight w:val="12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Nije potrebno definirati vrste nasilja, već samo prepoznati moguće ugrožavajuće situacije i znati postupiti u rizičnim situacijama. Pokazuje odgovoran odnos prema prirodi: ponovno upotrebljava, razvrstava otpad, prepoznaje važnost vode, zraka i tla, brine se o biljkama i životinjama. Napomena: O pubertetu se razgovara na način da učenik razumije da se rastom i razvojem mijenja tijelo, ali i ponašanje. Više o promjenama i osobnoj čistoći tijela ostvaruje se u suradnji s timom školske medicine.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7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B.4.2.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analizira i povezuje životne uvjete i raznolikost živih bića na različitim staništima te opisuje cikluse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Istražuje životne uvjete (zrak, tlo, voda, svjetlost, toplina).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na primjerima utjecaj životnih uvjeta na organizme.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životne cikluse u prirodi (na primjeru biljke cvjetnjače) i kruženje vode u prirodi.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životnu zajednicu (organizme koji žive na istome staništu) na primjeru iz neposrednoga okoliša i uspoređuje sa zajednicom iz drugoga područja.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Povezuje različitost vremenskih uvjeta s raznolikošću biljnoga i životinjskoga svijeta.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Na primjerima opisuje prilagodbe biljaka i životinja na različite uvjete života.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4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primjeru uzgoja jedne biljke, npr. pšenice ili graha učenik istražuje na koji način različiti životni uvjeti djeluju na njezin razvoj (višak ili manjak vode, topline i sl.).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Zamišlja svijet bez jednoga životnog uvjeta.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će uočiti kako su biljke oblikom i bojom prilagođene oprašivanju (npr. rese za oprašivanje vjetrom, cvjetovi različitih boja i mirisa za oprašivanje kukcima).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hranidbene odnose unutar životne zajednice.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Uspoređuje različite životne zajednice koje može istražiti i organizme koji su s njima povezane.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životne uvjete i uz pomoć opisuje njihov utjecaj na životne zajednice u zavičaju te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životne uvjete i njihov utjecaj na životne zajednice u zavičaju, povezuje raznolikost životnih zajednica s vremenskim i drugim životnim uvjetima,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utjecaj životnih uvjeta na životne zajednice u zavičaju, uspoređuje raznolikost životnih zajednica, vremenskih i drugih životnih uvjeta na različitim staništima,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Analizira utjecaj životnih uvjeta na životne zajednice u zavičaju i povezuje različitost vremenskih i drugih životnih uvjeta na različitim staništima te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88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B.4.3.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 se snalazi u promjenama i odnosima u vremenu te pripovijeda povijesnu prič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  <w:lang w:val="pt-PT"/>
              </w:rPr>
              <w:t>u o pros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̌lim događajima i o značajnim osobama iz zavičaja i/ili Republike Hrvatske.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Prikuplja informacije i istražuje o odnosima prirodnih i društvenih pojava. Istražuje o značajnim osobama i događajima u domovini, povezuje ih s kulturno-povijesnim spomenicima, smješta u vremenske okvire te pokazuje na vremenskoj crti ili lenti vremena (vrijeme doseljenja Hrvata, najznačajniji vladari - Tomislav, Krešimir, Zvonimir, Bašćanska ploča, početak Domovinskoga rata, osamostaljenje Republike Hrvatske, ulazak Republike Hrvatske u Europsku uniju).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Objašnjava utjecaj istraženih događaja, osoba i promjena na sadašnji život čovjeka. Uspoređuje, na istraženim primjerima, odnose i promjene u prošlosti, sadašnjosti u zavičaju i/ili Republici Hrvatskoj i predviđa moguće odnose i promjene u budućnosti.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43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Učenik prikuplja iz različitih izvora podatke o značajnim povijesnim osobama i događajima (odlazi u knjižnicu, muzej, obilazi mjesto i istražuje, istražuje podatke o osobama npr. na novčanicama, podrijetlo imena učenika, ulica, škole i sl.).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Bitno je razumjeti da je hrvatska prošlost duga i bogata povijesnim događajima, da su ju obilježile mnoge značajne osobe po kojima su neki dobili ime, po kojima su imenovane pojedine ulice i trgovi, škole te da su imali važan utjecaj i na naš život.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Bitno je krenuti od povijesnih sadržaja zavičaja i nadograditi ih povijesnim sadržajima koji su značajni u hrvatskoj povijesti. Treba povezati i na crti ili lenti vremena prikazati i značajne osobe koje se spominju u književnosti, znanosti ili drugim predmetima (npr. Ivana Brlić-Mažuranić, Nikola Tesla, Faust Vrančić i dr.).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Koristeći se različitim izvorima informacija, opisuje promjene i odnose prirodnih i društvenih pojava u vremenu i njihov utjecaj na sadašnjost te ih prikazuje.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 se različitim izvorima informacija, objašnjava promjene i odnose prirodnih i društvenih pojava u vremenu i njihov utjecaj na sadašnjost te ih prikazuje.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 se različitim izvorima informacija, uspoređuje promjene i odnose prirodnih i društvenih pojava u vremenu i njihov utjecaj na sadašnjost te ih prikazuje.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Koristeći se različitim izvorima informacija, zaključuje o promjenama i odnosima prirodnih i društvenih pojava u vremenu i njihovu utjecaju na sadašnjost te ih prikazuje.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lastRenderedPageBreak/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Nije potrebno učenike opterećivati godinama i pamćenjem različitih imena i naziva.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Bitno je shvatiti vremenski slijed s osnovnim podatcima o osobama i događajima.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B.4.4.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se snalazi i tumači geografsku kartu i zaključuje o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međuodnosu reljefnih obilježja krajeva Republike Hrvatske i načina života.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Snalazi se na geografskoj karti, istražuje i uspoređuje različita prirodna obilježja krajeva Republike Hrvatske koja uvjetuju način života toga područja (npr. izgled naselja, izgled ulica, materijali za gradnju, gospodarske djelatnosti/ zanimanja određenoga područja). </w:t>
            </w:r>
          </w:p>
          <w:p w:rsidR="00A329AB" w:rsidRDefault="00A329A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13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opisuje reljefna obilježja Republike Hrvatske i uočava prometnu povezanost.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čita geografsku kartu i opisuje međuodnos reljefnih obilježja krajeva Republike Hrvatske i nači- na života.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Čita i uz pomoć se snalazi na geografskoj karti te objašnjava međuodnos reljefnih obilježja krajeva Republike Hrvatske i načina života.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Čita i snalazi se na geografskoj karti te objašnjava međuodnos reljefnih obilježja krajeva Republike Hrvatske i načina života.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Snalazi se na geografskoj karti i zaključuje o međusobnome utjecaju reljefnih obilježja krajeva Republike Hrvatske i načina života. </w:t>
            </w:r>
          </w:p>
        </w:tc>
      </w:tr>
    </w:tbl>
    <w:p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Pojedinac i društvo 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C.4.1.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obrazlaže ulogu, utjecaj i važnost povijesnoga nasljeđa te prirodnih i društvenih različitosti domovine na razvoj nacionalnoga identiteta.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Objašnjava ulogu nacionalnih simbola/obilježja.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svojoj ulozi i povezanosti s domovinom prema događajima, interesima, vrijednostima.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 prirodnu i društvenu raznolikost, posebnost i prepoznatljivost domovine koristeći se različitim izvorima. Objašnjava povezanost baštine s identitetom domovine te ulogu baštine za razvoj i očuvanje nacionalnoga identiteta.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Objašnjava na primjerima načine zaštite i očuvanja prirodne, kulturne i povijesne baštine domovine.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3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Prepoznatljivost su domovine grb, zastava, himna, novac, tradicija, običaji, parkovi prirode i nacionalni parkovi, kulturno-povijesne znamenitosti, posebnosti parkova prirode, nacionalnih parkova (zaštićena područja) i kulturno-povijesnih znamenitosti.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Učenici zaključuju o značenju i obilježavanju državnih praznika, blagdana, značajnih dana i događaja.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ulogu, utjecaj i važnost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Povezuje ulogu, utjecaj i važnost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ulozi, utjecaju i važnosti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Obrazlaže ulogu, utjecaj i važnost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Valja voditi brigu o prostornoj i društvenoj različitosti domovine s obzirom na različitost nacija i razvoja nacionalnoga identiteta.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30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PID OŠ C.4.2.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zaključuje o utjecaju prava i dužnosti na pojedinca i zajednicu te o važnosti slobode za pojedinca i društvo.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Istražuje odnose i ravnotežu između prava i dužnosti, uzroke i posljedice postupaka.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važnosti jednakosti prava i slobode svakoga pojedinca uz poštivanje tuđih sloboda.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Pokazuje solidarnost prema članovima zajednice.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pravima djece.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(ne)poštivanju ljudskih prava i prava djece.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Uvažava različitosti i razvija osjećaj tolerancije.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Predlaže načine rješavanja i sprečavanja nastanka problema.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Odgovorno se ponaša prema zdravlju, okolišu i u primjeni IKT-a.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važnosti digitalnoga identiteta i utjecaja digitalnih tragova.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Štiti svoje osobne podatke te poštuje tuđe vlasništvo i privatnost.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Promišlja o prisutnosti demokratskih vrijednosti u zajednicama kojih je dio te promiče demokratske vrijednosti u svome okružju.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23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Uključuje se u radionice i projekte o pravima i dužnostima pojedinca i zajednice.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pravilima uporabe digitalnih sadržaja (dijeljenje, uporaba) prema primijenjenim oznakama i osvje- šćuje potrebu zaštite svoga intelektualnoga vlasništva.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uzročno-posljedične veze nepoštivanja pravila i dužnosti te važnost slobode pojedinca i društva.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Opisuje uzročno-posljedične veze nepoštivanja pravila te važnost slobode pojedinca i društva.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uzročno-posljedične veze nepoštivanja pravila i dužnosti te važnost slobode pojedinca i društva.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Zaključuje o uzročno-posljedičnim vezama nepoštivanja pravila i dužnosti te važnosti slobode pojedinca i društva. </w:t>
            </w:r>
          </w:p>
          <w:p w:rsidR="00A329AB" w:rsidRDefault="00A329A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19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 objašnjava povezanost prirodnoga i društvenoga okružja s gospodarstvom Republike Hrvatske.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povezanost prirodnoga i društvenoga okružja s gospodarskim djelatnostima u Republici Hrvatskoj. Objašnjava ulogu i utjecaj prirodnoga i društvenoga okružja na gospodarstvo Republike Hrvatske. Prepoznaje važnost različitih zanimanja i djelatnosti i njihov utjecaj na gospodarstvo Republike Hrvatske. Objašnjava važnost poduzetnosti i inovativnosti za razvoj zajednice (i pojedinca) i uključuje se u aktivnosti koje ih promiču. Objašnjava i navodi primjere važnosti i vrijednosti rada za razvoj pojedinca i zajednice. Predlaže načine poboljšanja kvalitete života u zajednici.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SADRŽAJ/NAPOMENA: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Gospodarstvo Republike Hrvatske spoznaje se istraživačkim pristupom i povezivanjem s gospodarstvom i djelatnostima ljudi zavičaja kako bi se izbjeglo navođenje i/ili reproduciranje činjenica te se o njemu promišlja u cjelini na način da učenik različitim postupcima istražuje odgovore na pitanja: Na koji su način povezane djelatnosti ljudi s prirodnim i društvenim okružjem u različitim dijelovima Republike Hrvatske? Po čemu se razlikuju pojedini dijelovi Hrvatske, a po čemu su slični u odnosu na naš zavičaj kad govorimo o gospodarstvu i djelatnostima ljudi? Zašto su pojedine djelatnosti karakteristične i razvijenije u nekim područjima Republike Hrvatske i zašto su neke djelatnosti neovisne o okružju? O kojim se djelatnostima ljudi danas najviše razgovara? Koje su djelatnosti tražene, na koji se način osposobljavamo za buduća zanimanja? Hoće li zanimanja ljudi biti jednaka u budućnosti kao i danas? Kako ću ja jednoga dana doprinijeti gospodarstvu? Vidim li svoju ulogu u razvoju svoga mjesta/zavičaja? Učenik se uključuje u rad vijeća učenika preko predstavnika razreda.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Uz pomoć povezuje prirodno i društveno okružje s gospodarskim djelatnostima u Republici Hrvatskoj te uz pomoć prepoznaje važnost poduzetnosti i inovativnosti te opisuje i navodi primjere odnosa prema radu.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Povezuje prirodno i društveno okružje s gospodarskim djelatnostima u Republici Hrvatskoj te prepoznaje važnost poduzetnosti i inovativnosti i vrijednosti rada.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povezanost prirodnoga i društvenoga okružja s gospodarstvom Republike Hrvatske te važnost poduzetnosti i inovativnosti predlažući aktivnosti koje ih promiču te opisuje važnost i vrijednost rada.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Objašnjava povezanost prirodnoga i društvenoga okružja s gospodarstvom Republike Hrvatske te važnost poduzetnosti i inovativnosti kao i vrijednosti rada predlažući aktivnosti koje ih promiču.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</w:tbl>
    <w:p w:rsidR="00A329AB" w:rsidRDefault="00A329AB" w:rsidP="000B32BE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Energija 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86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D.4.1.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opisuje prijenos, pretvorbu i povezanost energije u životnim ciklusima i ciklusima tvari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na primjeru načine prijenosa, pretvorbe i povezanost energije u procesima rasta i razvoja živoga bića, u hranidbenim odnosima i kruženju vode u prirodi. Opisuje načine primjene energije koju hranom unosimo u svoj organizam. Opisuje da se zelene biljke koriste Sunčevom energijom pri čemu proizvode hranu i kisik. Navodi primjere hranidbenih odnosa organizama iz neposrednoga okoliša. Opisuje utjecaj različitih načina primjene energije na okoliš (primjeri zagađenja okoliša). Prepoznaje povezanost energije s promjenama stanja tvari i procesima. Opisuje utjecaj energije na život i rad ljudi i društva te istražuje kako se nekad živjelo s obzirom na izvore energije i povezuje to s važnim izumima tijekom povijesti. 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7A1361">
        <w:trPr>
          <w:trHeight w:val="490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Različiti primjeri načina prijenosa (toplina prelazi s jednoga tijela na drugo), pretvorbe (mijenja oblik) i povezanost energije u procesima rasta i razvoja živoga bića, u hranidbenim odnosima i kruženju vode u prirodi.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Upotreba energije koju hranom unosimo u svoj organizam npr. za zagrijavanje tijela, učenje, tjelesne aktivnosti i sl. Primjeri su pohranjivanja energije: baterija, gomolj biljke, potkožno masno tkivo i sl.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povijesne primjere razvoja poznatih i bliskih izuma i njihovu važnost u razvoju tehnologije (npr. struja, telefon, žarulja...).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navodi primjer prijenosa, pretvorbe i povezanosti energije u životnim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primjer prijenosa, pretvorbe i povezanosti energije u životnim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7A1361">
        <w:trPr>
          <w:trHeight w:val="28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A.B.C.D.4.1.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uz usmjeravanje objašnjava rezultate vlastitih istraživanja prirode, prirodnih i/ili društvenih pojava i/ili različitih izvora informacija.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Promatra i opisuje.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pitanja.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pretpostavke o očekivanim rezultatima.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Planira istraživanje (na koji način doći do odgovora).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Provodi jednostavna istraživanja i prikuplja podatke.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Mjeri i očitava.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Prikazuje i analizira podatke.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Zaključuje.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Provjerava i uočava pogreške.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Uočava novi problem.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Slijedi etape istraživačkog pristupa. 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7A1361">
        <w:trPr>
          <w:trHeight w:val="308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Ostvaruje se putem sadržaja svih ostalih koncepata.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rezultate te ih predstavlja.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i opisuje rezultate te ih predstavlja.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Uz usmjeravanje postavlja pitanja povezana s opaženim promjenama, koristi se opremom, mjeri, bilježi, objašnjava i predstavlja rezultate istraživanja prirode, prirodnih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br/>
              <w:t>ili društvenih pojava i/ili različitih izvora informacija.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usmjeravanje oblikuje pitanja, koristi se opremom, mjeri, bilježi, objašnjava i uspoređuje svoje rezultate istraživanja s drugima i na osnovi toga procjenjuje vlastiti rad te predstavlja rezultate.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  <w:bookmarkStart w:id="0" w:name="_GoBack"/>
      <w:bookmarkEnd w:id="0"/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hint="eastAsia"/>
        </w:rPr>
      </w:pPr>
    </w:p>
    <w:sectPr w:rsidR="00A329AB" w:rsidSect="00A329AB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C1" w:rsidRDefault="003B72C1" w:rsidP="00A329AB">
      <w:r>
        <w:separator/>
      </w:r>
    </w:p>
  </w:endnote>
  <w:endnote w:type="continuationSeparator" w:id="0">
    <w:p w:rsidR="003B72C1" w:rsidRDefault="003B72C1" w:rsidP="00A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AB" w:rsidRDefault="00A329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C1" w:rsidRDefault="003B72C1" w:rsidP="00A329AB">
      <w:r>
        <w:separator/>
      </w:r>
    </w:p>
  </w:footnote>
  <w:footnote w:type="continuationSeparator" w:id="0">
    <w:p w:rsidR="003B72C1" w:rsidRDefault="003B72C1" w:rsidP="00A3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AB" w:rsidRDefault="00A329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B"/>
    <w:rsid w:val="000B32BE"/>
    <w:rsid w:val="001062A2"/>
    <w:rsid w:val="00290C90"/>
    <w:rsid w:val="003B72C1"/>
    <w:rsid w:val="00525D30"/>
    <w:rsid w:val="005F7E4D"/>
    <w:rsid w:val="007A1361"/>
    <w:rsid w:val="009D1181"/>
    <w:rsid w:val="00A329AB"/>
    <w:rsid w:val="00E12DBB"/>
    <w:rsid w:val="00E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F860-53FA-4D64-AC07-6554029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29A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9AB"/>
    <w:rPr>
      <w:u w:val="single"/>
    </w:rPr>
  </w:style>
  <w:style w:type="paragraph" w:customStyle="1" w:styleId="Tijelo">
    <w:name w:val="Tijelo"/>
    <w:rsid w:val="00A329AB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A329A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D1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9D1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3540</Words>
  <Characters>20179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2024-04-24T06:47:00Z</dcterms:created>
  <dcterms:modified xsi:type="dcterms:W3CDTF">2024-04-24T06:47:00Z</dcterms:modified>
</cp:coreProperties>
</file>