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A7" w:rsidRDefault="003171A7" w:rsidP="003171A7">
      <w:pPr>
        <w:jc w:val="center"/>
        <w:rPr>
          <w:b/>
        </w:rPr>
      </w:pPr>
      <w:r w:rsidRPr="00994D35">
        <w:rPr>
          <w:b/>
        </w:rPr>
        <w:t xml:space="preserve">Obrazloženje uz izvještaj o izvršenju Financijskog plana </w:t>
      </w:r>
    </w:p>
    <w:p w:rsidR="003171A7" w:rsidRPr="00994D35" w:rsidRDefault="003171A7" w:rsidP="003171A7">
      <w:pPr>
        <w:jc w:val="center"/>
        <w:rPr>
          <w:b/>
        </w:rPr>
      </w:pPr>
      <w:r>
        <w:rPr>
          <w:b/>
        </w:rPr>
        <w:t>Osnovne škole Biogra</w:t>
      </w:r>
      <w:r w:rsidR="00D73D0A">
        <w:rPr>
          <w:b/>
        </w:rPr>
        <w:t>d</w:t>
      </w:r>
      <w:r>
        <w:rPr>
          <w:b/>
        </w:rPr>
        <w:t xml:space="preserve">, </w:t>
      </w:r>
      <w:r w:rsidR="00582F2F">
        <w:rPr>
          <w:b/>
        </w:rPr>
        <w:t>za 2023</w:t>
      </w:r>
      <w:r w:rsidRPr="00994D35">
        <w:rPr>
          <w:b/>
        </w:rPr>
        <w:t>. godinu</w:t>
      </w:r>
    </w:p>
    <w:p w:rsidR="003171A7" w:rsidRPr="00696D67" w:rsidRDefault="003171A7" w:rsidP="00696D67">
      <w:pPr>
        <w:jc w:val="both"/>
        <w:rPr>
          <w:sz w:val="24"/>
          <w:szCs w:val="24"/>
        </w:rPr>
      </w:pPr>
    </w:p>
    <w:p w:rsidR="003171A7" w:rsidRPr="00696D67" w:rsidRDefault="003171A7" w:rsidP="00696D67">
      <w:pPr>
        <w:spacing w:line="360" w:lineRule="auto"/>
        <w:jc w:val="both"/>
        <w:rPr>
          <w:sz w:val="24"/>
          <w:szCs w:val="24"/>
        </w:rPr>
      </w:pPr>
      <w:r w:rsidRPr="00696D67">
        <w:rPr>
          <w:sz w:val="24"/>
          <w:szCs w:val="24"/>
        </w:rPr>
        <w:t>Prema Zakonu o proračunu (NN 144/21) utvrđena je obveza izrade Godišnjeg izvještaja o izvršenju financijskog plana proračunskog korisnika za proteklu godinu te dostave upravljačkom tijelu na usvajanje, najkasnije do 31. ož</w:t>
      </w:r>
      <w:r w:rsidR="00582F2F">
        <w:rPr>
          <w:sz w:val="24"/>
          <w:szCs w:val="24"/>
        </w:rPr>
        <w:t>ujka tekuće godine. Tijekom 2023</w:t>
      </w:r>
      <w:r w:rsidRPr="00696D67">
        <w:rPr>
          <w:sz w:val="24"/>
          <w:szCs w:val="24"/>
        </w:rPr>
        <w:t>. godine financiranje javnih rashoda izvršeno je na osnovi sljedećih financijsko planskih dokumenata:</w:t>
      </w:r>
    </w:p>
    <w:p w:rsidR="003171A7" w:rsidRPr="00696D67" w:rsidRDefault="003171A7" w:rsidP="00696D67">
      <w:pPr>
        <w:spacing w:line="360" w:lineRule="auto"/>
        <w:jc w:val="both"/>
        <w:rPr>
          <w:sz w:val="24"/>
          <w:szCs w:val="24"/>
        </w:rPr>
      </w:pPr>
      <w:r w:rsidRPr="00696D67">
        <w:rPr>
          <w:sz w:val="24"/>
          <w:szCs w:val="24"/>
        </w:rPr>
        <w:t xml:space="preserve">- </w:t>
      </w:r>
      <w:r w:rsidR="00582F2F">
        <w:rPr>
          <w:i/>
          <w:sz w:val="24"/>
          <w:szCs w:val="24"/>
        </w:rPr>
        <w:t>Financijskog plana za 2023</w:t>
      </w:r>
      <w:r w:rsidRPr="00696D67">
        <w:rPr>
          <w:i/>
          <w:sz w:val="24"/>
          <w:szCs w:val="24"/>
        </w:rPr>
        <w:t>. godinu s projekcijama za 20</w:t>
      </w:r>
      <w:r w:rsidR="00582F2F">
        <w:rPr>
          <w:i/>
          <w:sz w:val="24"/>
          <w:szCs w:val="24"/>
        </w:rPr>
        <w:t>24. i 2025</w:t>
      </w:r>
      <w:r w:rsidRPr="00696D67">
        <w:rPr>
          <w:i/>
          <w:sz w:val="24"/>
          <w:szCs w:val="24"/>
        </w:rPr>
        <w:t>. godinu</w:t>
      </w:r>
    </w:p>
    <w:p w:rsidR="003171A7" w:rsidRPr="00696D67" w:rsidRDefault="003171A7" w:rsidP="00696D67">
      <w:pPr>
        <w:spacing w:line="360" w:lineRule="auto"/>
        <w:jc w:val="both"/>
        <w:rPr>
          <w:sz w:val="24"/>
          <w:szCs w:val="24"/>
        </w:rPr>
      </w:pPr>
      <w:r w:rsidRPr="00696D67">
        <w:rPr>
          <w:sz w:val="24"/>
          <w:szCs w:val="24"/>
        </w:rPr>
        <w:t xml:space="preserve">- </w:t>
      </w:r>
      <w:r w:rsidRPr="00696D67">
        <w:rPr>
          <w:i/>
          <w:sz w:val="24"/>
          <w:szCs w:val="24"/>
        </w:rPr>
        <w:t>Izmjena i d</w:t>
      </w:r>
      <w:r w:rsidR="00582F2F">
        <w:rPr>
          <w:i/>
          <w:sz w:val="24"/>
          <w:szCs w:val="24"/>
        </w:rPr>
        <w:t>opuna Financijskog plana za 2023</w:t>
      </w:r>
      <w:r w:rsidRPr="00696D67">
        <w:rPr>
          <w:i/>
          <w:sz w:val="24"/>
          <w:szCs w:val="24"/>
        </w:rPr>
        <w:t>. godinu</w:t>
      </w:r>
    </w:p>
    <w:p w:rsidR="003171A7" w:rsidRPr="00696D67" w:rsidRDefault="003171A7" w:rsidP="00696D67">
      <w:pPr>
        <w:spacing w:line="360" w:lineRule="auto"/>
        <w:jc w:val="both"/>
        <w:rPr>
          <w:b/>
          <w:sz w:val="24"/>
          <w:szCs w:val="24"/>
        </w:rPr>
      </w:pPr>
      <w:r w:rsidRPr="00696D67">
        <w:rPr>
          <w:b/>
          <w:sz w:val="24"/>
          <w:szCs w:val="24"/>
        </w:rPr>
        <w:t>SAŽETAK DJELOKRUGA RADA</w:t>
      </w:r>
    </w:p>
    <w:p w:rsidR="003171A7" w:rsidRPr="00696D67" w:rsidRDefault="003171A7" w:rsidP="00696D67">
      <w:pPr>
        <w:spacing w:line="360" w:lineRule="auto"/>
        <w:jc w:val="both"/>
        <w:rPr>
          <w:sz w:val="24"/>
          <w:szCs w:val="24"/>
        </w:rPr>
      </w:pPr>
      <w:r w:rsidRPr="00696D67">
        <w:rPr>
          <w:color w:val="000000"/>
          <w:sz w:val="24"/>
          <w:szCs w:val="24"/>
          <w:shd w:val="clear" w:color="auto" w:fill="FFFFFF"/>
        </w:rPr>
        <w:t>Osnovna škola Biograd, Biograd na Moru obnaša odgojno-obrazovnu djelatnost na području mjesta: Biograd na Moru, Raštane Gornje i Tkon na otoku Pašmanu.</w:t>
      </w:r>
      <w:r w:rsidRPr="00696D67">
        <w:rPr>
          <w:sz w:val="24"/>
          <w:szCs w:val="24"/>
        </w:rPr>
        <w:t>Nastava je organizirana u jutarnjoj i popodnevnoj smjeni u petodnevnom radnom tjednu ( subote po potrebi).</w:t>
      </w:r>
    </w:p>
    <w:p w:rsidR="003171A7" w:rsidRPr="00696D67" w:rsidRDefault="003171A7" w:rsidP="00696D67">
      <w:pPr>
        <w:spacing w:line="360" w:lineRule="auto"/>
        <w:jc w:val="both"/>
        <w:rPr>
          <w:sz w:val="24"/>
          <w:szCs w:val="24"/>
        </w:rPr>
      </w:pPr>
      <w:r w:rsidRPr="00696D67">
        <w:rPr>
          <w:sz w:val="24"/>
          <w:szCs w:val="24"/>
        </w:rPr>
        <w:t>Osim redovne nastave učenici i profesori sudjeluju u brojnim vannastavnim aktivnostima uključujući se u vanjske (županijske, gradske, državne) manifestacije, natjecanja i razna druga događanja.</w:t>
      </w:r>
    </w:p>
    <w:p w:rsidR="003171A7" w:rsidRPr="00696D67" w:rsidRDefault="003171A7" w:rsidP="00696D67">
      <w:pPr>
        <w:spacing w:line="360" w:lineRule="auto"/>
        <w:jc w:val="both"/>
        <w:rPr>
          <w:b/>
          <w:sz w:val="24"/>
          <w:szCs w:val="24"/>
        </w:rPr>
      </w:pPr>
      <w:r w:rsidRPr="00696D67">
        <w:rPr>
          <w:b/>
          <w:sz w:val="24"/>
          <w:szCs w:val="24"/>
        </w:rPr>
        <w:t>OBRAZLOŽENJE OPĆEG DIJELA IZVJEŠTAJA:</w:t>
      </w:r>
    </w:p>
    <w:p w:rsidR="003171A7" w:rsidRPr="00696D67" w:rsidRDefault="003171A7" w:rsidP="00696D67">
      <w:pPr>
        <w:spacing w:line="360" w:lineRule="auto"/>
        <w:jc w:val="both"/>
        <w:rPr>
          <w:i/>
          <w:sz w:val="24"/>
          <w:szCs w:val="24"/>
        </w:rPr>
      </w:pPr>
      <w:r w:rsidRPr="00696D67">
        <w:rPr>
          <w:sz w:val="24"/>
          <w:szCs w:val="24"/>
        </w:rPr>
        <w:t>Financijski pla</w:t>
      </w:r>
      <w:r w:rsidR="00582F2F">
        <w:rPr>
          <w:sz w:val="24"/>
          <w:szCs w:val="24"/>
        </w:rPr>
        <w:t>n Osnovne škole Biograd  za 2023</w:t>
      </w:r>
      <w:r w:rsidRPr="00696D67">
        <w:rPr>
          <w:sz w:val="24"/>
          <w:szCs w:val="24"/>
        </w:rPr>
        <w:t xml:space="preserve">. godinu donesen je na sjednici Školskog odbora dana </w:t>
      </w:r>
      <w:r w:rsidR="00A2387A">
        <w:rPr>
          <w:sz w:val="24"/>
          <w:szCs w:val="24"/>
        </w:rPr>
        <w:t>17. listopada 2022</w:t>
      </w:r>
      <w:r w:rsidRPr="00D73D0A">
        <w:rPr>
          <w:sz w:val="24"/>
          <w:szCs w:val="24"/>
        </w:rPr>
        <w:t>. godine.</w:t>
      </w:r>
      <w:r w:rsidRPr="00696D67">
        <w:rPr>
          <w:sz w:val="24"/>
          <w:szCs w:val="24"/>
        </w:rPr>
        <w:t xml:space="preserve"> Prve izmjene i dopune Financijskog plana Osnovne škol</w:t>
      </w:r>
      <w:r w:rsidR="00582F2F">
        <w:rPr>
          <w:sz w:val="24"/>
          <w:szCs w:val="24"/>
        </w:rPr>
        <w:t>e Biograd za 2023</w:t>
      </w:r>
      <w:r w:rsidRPr="00696D67">
        <w:rPr>
          <w:sz w:val="24"/>
          <w:szCs w:val="24"/>
        </w:rPr>
        <w:t xml:space="preserve">. godinu donesene su na sjednici Školskog odbora dana </w:t>
      </w:r>
      <w:r w:rsidR="00A2387A">
        <w:rPr>
          <w:sz w:val="24"/>
          <w:szCs w:val="24"/>
        </w:rPr>
        <w:t xml:space="preserve">18. svibnja </w:t>
      </w:r>
      <w:r w:rsidR="00582F2F">
        <w:rPr>
          <w:sz w:val="24"/>
          <w:szCs w:val="24"/>
        </w:rPr>
        <w:t>2023</w:t>
      </w:r>
      <w:r w:rsidRPr="00D73D0A">
        <w:rPr>
          <w:sz w:val="24"/>
          <w:szCs w:val="24"/>
        </w:rPr>
        <w:t>.</w:t>
      </w:r>
      <w:r w:rsidRPr="00D73D0A">
        <w:rPr>
          <w:i/>
          <w:sz w:val="24"/>
          <w:szCs w:val="24"/>
        </w:rPr>
        <w:t xml:space="preserve"> godine.</w:t>
      </w:r>
      <w:r w:rsidRPr="00696D67">
        <w:rPr>
          <w:i/>
          <w:sz w:val="24"/>
          <w:szCs w:val="24"/>
        </w:rPr>
        <w:t xml:space="preserve"> </w:t>
      </w:r>
    </w:p>
    <w:tbl>
      <w:tblPr>
        <w:tblW w:w="966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37"/>
        <w:gridCol w:w="2164"/>
        <w:gridCol w:w="1714"/>
        <w:gridCol w:w="2233"/>
        <w:gridCol w:w="1320"/>
      </w:tblGrid>
      <w:tr w:rsidR="003171A7" w:rsidRPr="00696D67" w:rsidTr="00696D67">
        <w:trPr>
          <w:trHeight w:val="1125"/>
        </w:trPr>
        <w:tc>
          <w:tcPr>
            <w:tcW w:w="223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I RASHODI 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A7" w:rsidRPr="003171A7" w:rsidRDefault="00C55403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Ostvarenje/Izvršenje 2022</w:t>
            </w:r>
            <w:r w:rsidR="003171A7" w:rsidRPr="003171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A7" w:rsidRPr="003171A7" w:rsidRDefault="00C55403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A7" w:rsidRPr="003171A7" w:rsidRDefault="00C55403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Ostvarenje/Izvršenje 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21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24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6 Prihodi poslovanja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1.755.874,20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1.808.023,48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1.978.068,22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24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7 Prihodi od prodaje nefinancijske imovine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24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lastRenderedPageBreak/>
              <w:t>9-Preneseni višak predh.god.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10.712,75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24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PRIHODI UKUPNO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1.755.874,20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1.818.736,23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1.978.068,22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30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 Rashodi poslovanja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1.706.576,93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1.808.023,48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2.065.223,78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46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 Rashodi za nabavu nefinancijske imovine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255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RASHODI UKUPNO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1.706.576,93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1.808.023,48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2.065.223,78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171A7" w:rsidRPr="00696D67" w:rsidTr="00696D67">
        <w:trPr>
          <w:trHeight w:val="255"/>
        </w:trPr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Razlika - višak/manjak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171A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1A7" w:rsidRPr="003171A7" w:rsidRDefault="00A2387A" w:rsidP="00696D6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93.617,75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7" w:rsidRPr="003171A7" w:rsidRDefault="003171A7" w:rsidP="00696D67">
            <w:pPr>
              <w:spacing w:after="0" w:line="240" w:lineRule="auto"/>
              <w:ind w:firstLineChars="100" w:firstLine="2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171A7" w:rsidRPr="00696D67" w:rsidRDefault="003171A7" w:rsidP="00696D67">
      <w:pPr>
        <w:spacing w:line="360" w:lineRule="auto"/>
        <w:jc w:val="both"/>
        <w:rPr>
          <w:b/>
          <w:sz w:val="24"/>
          <w:szCs w:val="24"/>
        </w:rPr>
      </w:pPr>
    </w:p>
    <w:p w:rsidR="003171A7" w:rsidRPr="00696D67" w:rsidRDefault="003171A7" w:rsidP="00696D67">
      <w:pPr>
        <w:spacing w:line="360" w:lineRule="auto"/>
        <w:jc w:val="both"/>
        <w:rPr>
          <w:sz w:val="24"/>
          <w:szCs w:val="24"/>
        </w:rPr>
      </w:pPr>
      <w:r w:rsidRPr="00696D67">
        <w:rPr>
          <w:sz w:val="24"/>
          <w:szCs w:val="24"/>
        </w:rPr>
        <w:t>Svekupni pr</w:t>
      </w:r>
      <w:r w:rsidR="00582F2F">
        <w:rPr>
          <w:sz w:val="24"/>
          <w:szCs w:val="24"/>
        </w:rPr>
        <w:t>ihodi za proračunsku godinu 2023</w:t>
      </w:r>
      <w:r w:rsidRPr="00696D67">
        <w:rPr>
          <w:sz w:val="24"/>
          <w:szCs w:val="24"/>
        </w:rPr>
        <w:t>. su ost</w:t>
      </w:r>
      <w:r w:rsidR="00582F2F">
        <w:rPr>
          <w:sz w:val="24"/>
          <w:szCs w:val="24"/>
        </w:rPr>
        <w:t>vareni u skladu s planom za 2023</w:t>
      </w:r>
      <w:r w:rsidRPr="00696D67">
        <w:rPr>
          <w:sz w:val="24"/>
          <w:szCs w:val="24"/>
        </w:rPr>
        <w:t xml:space="preserve">. godinu. </w:t>
      </w:r>
    </w:p>
    <w:p w:rsidR="003171A7" w:rsidRPr="00696D67" w:rsidRDefault="003171A7" w:rsidP="00696D67">
      <w:pPr>
        <w:spacing w:line="360" w:lineRule="auto"/>
        <w:jc w:val="both"/>
        <w:rPr>
          <w:sz w:val="24"/>
          <w:szCs w:val="24"/>
        </w:rPr>
      </w:pPr>
      <w:r w:rsidRPr="00696D67">
        <w:rPr>
          <w:sz w:val="24"/>
          <w:szCs w:val="24"/>
        </w:rPr>
        <w:t>RASPOLOŽIVA SREDSTVA IZ PREDHODNIH GODINA</w:t>
      </w:r>
    </w:p>
    <w:p w:rsidR="00505973" w:rsidRPr="00696D67" w:rsidRDefault="00505973" w:rsidP="00696D67">
      <w:pPr>
        <w:jc w:val="both"/>
        <w:rPr>
          <w:sz w:val="24"/>
          <w:szCs w:val="24"/>
        </w:rPr>
      </w:pPr>
    </w:p>
    <w:p w:rsidR="00696D67" w:rsidRDefault="00A2387A" w:rsidP="00696D67">
      <w:pPr>
        <w:jc w:val="both"/>
        <w:rPr>
          <w:sz w:val="24"/>
          <w:szCs w:val="24"/>
        </w:rPr>
      </w:pPr>
      <w:r>
        <w:rPr>
          <w:sz w:val="24"/>
          <w:szCs w:val="24"/>
        </w:rPr>
        <w:t>Ostvareni višak prihoda u 2023</w:t>
      </w:r>
      <w:r w:rsidR="00551030">
        <w:rPr>
          <w:sz w:val="24"/>
          <w:szCs w:val="24"/>
        </w:rPr>
        <w:t xml:space="preserve">. godini iznosio je </w:t>
      </w:r>
      <w:r>
        <w:rPr>
          <w:sz w:val="24"/>
          <w:szCs w:val="24"/>
        </w:rPr>
        <w:t xml:space="preserve">22.775,68 </w:t>
      </w:r>
      <w:r w:rsidR="00696D67" w:rsidRPr="00696D67">
        <w:rPr>
          <w:sz w:val="24"/>
          <w:szCs w:val="24"/>
        </w:rPr>
        <w:t>te je utrošen sukladno namjeni za koju je namjenjen. Financijski rezultat po Financijskom izvješću za ra</w:t>
      </w:r>
      <w:r>
        <w:rPr>
          <w:sz w:val="24"/>
          <w:szCs w:val="24"/>
        </w:rPr>
        <w:t>zdoblje siječanj – prosinac 2023. godine prenosi se u 2024</w:t>
      </w:r>
      <w:r w:rsidR="00696D67" w:rsidRPr="00696D67">
        <w:rPr>
          <w:sz w:val="24"/>
          <w:szCs w:val="24"/>
        </w:rPr>
        <w:t>. godinu i raspoređuje se u skladu s Odlukom o raspodjeli rezultata</w:t>
      </w:r>
      <w:r w:rsidR="00D73D0A">
        <w:rPr>
          <w:sz w:val="24"/>
          <w:szCs w:val="24"/>
        </w:rPr>
        <w:t>.</w:t>
      </w:r>
    </w:p>
    <w:p w:rsidR="00D73D0A" w:rsidRDefault="00D73D0A" w:rsidP="00696D67">
      <w:pPr>
        <w:jc w:val="both"/>
        <w:rPr>
          <w:sz w:val="24"/>
          <w:szCs w:val="24"/>
        </w:rPr>
      </w:pPr>
    </w:p>
    <w:p w:rsidR="00D73D0A" w:rsidRDefault="00D73D0A" w:rsidP="00696D67">
      <w:pPr>
        <w:jc w:val="both"/>
        <w:rPr>
          <w:sz w:val="24"/>
          <w:szCs w:val="24"/>
        </w:rPr>
      </w:pPr>
    </w:p>
    <w:p w:rsidR="00D73D0A" w:rsidRDefault="00D73D0A" w:rsidP="00696D67">
      <w:pPr>
        <w:jc w:val="both"/>
        <w:rPr>
          <w:sz w:val="24"/>
          <w:szCs w:val="24"/>
        </w:rPr>
      </w:pPr>
    </w:p>
    <w:p w:rsidR="00D73D0A" w:rsidRDefault="00D73D0A" w:rsidP="00696D67">
      <w:pPr>
        <w:jc w:val="both"/>
        <w:rPr>
          <w:sz w:val="24"/>
          <w:szCs w:val="24"/>
        </w:rPr>
      </w:pPr>
    </w:p>
    <w:p w:rsidR="00D73D0A" w:rsidRDefault="00D73D0A" w:rsidP="00696D67">
      <w:pPr>
        <w:jc w:val="both"/>
        <w:rPr>
          <w:sz w:val="24"/>
          <w:szCs w:val="24"/>
        </w:rPr>
      </w:pPr>
    </w:p>
    <w:p w:rsidR="00D73D0A" w:rsidRDefault="00D73D0A" w:rsidP="00696D67">
      <w:pPr>
        <w:jc w:val="both"/>
        <w:rPr>
          <w:sz w:val="24"/>
          <w:szCs w:val="24"/>
        </w:rPr>
      </w:pPr>
    </w:p>
    <w:p w:rsidR="00A2387A" w:rsidRDefault="00A2387A" w:rsidP="00696D67">
      <w:pPr>
        <w:jc w:val="both"/>
        <w:rPr>
          <w:sz w:val="24"/>
          <w:szCs w:val="24"/>
        </w:rPr>
      </w:pPr>
    </w:p>
    <w:p w:rsidR="00A2387A" w:rsidRDefault="00A2387A" w:rsidP="00696D67">
      <w:pPr>
        <w:jc w:val="both"/>
        <w:rPr>
          <w:sz w:val="24"/>
          <w:szCs w:val="24"/>
        </w:rPr>
      </w:pPr>
    </w:p>
    <w:p w:rsidR="00A2387A" w:rsidRDefault="00A2387A" w:rsidP="00696D67">
      <w:pPr>
        <w:jc w:val="both"/>
        <w:rPr>
          <w:sz w:val="24"/>
          <w:szCs w:val="24"/>
        </w:rPr>
      </w:pPr>
    </w:p>
    <w:p w:rsidR="00A2387A" w:rsidRDefault="00A2387A" w:rsidP="00696D67">
      <w:pPr>
        <w:jc w:val="both"/>
        <w:rPr>
          <w:sz w:val="24"/>
          <w:szCs w:val="24"/>
        </w:rPr>
      </w:pPr>
    </w:p>
    <w:p w:rsidR="00A2387A" w:rsidRDefault="00A2387A" w:rsidP="00696D67">
      <w:pPr>
        <w:jc w:val="both"/>
        <w:rPr>
          <w:sz w:val="24"/>
          <w:szCs w:val="24"/>
        </w:rPr>
      </w:pPr>
    </w:p>
    <w:p w:rsidR="00A2387A" w:rsidRDefault="00A2387A" w:rsidP="00696D67">
      <w:pPr>
        <w:jc w:val="both"/>
        <w:rPr>
          <w:sz w:val="24"/>
          <w:szCs w:val="24"/>
        </w:rPr>
      </w:pPr>
    </w:p>
    <w:p w:rsidR="00D73D0A" w:rsidRDefault="00D73D0A" w:rsidP="00696D67">
      <w:pPr>
        <w:jc w:val="both"/>
        <w:rPr>
          <w:sz w:val="24"/>
          <w:szCs w:val="24"/>
        </w:rPr>
      </w:pPr>
    </w:p>
    <w:p w:rsidR="00696D67" w:rsidRPr="00483482" w:rsidRDefault="00696D67" w:rsidP="00696D67">
      <w:pPr>
        <w:spacing w:line="360" w:lineRule="auto"/>
        <w:jc w:val="both"/>
        <w:rPr>
          <w:b/>
        </w:rPr>
      </w:pPr>
      <w:r w:rsidRPr="00483482">
        <w:rPr>
          <w:b/>
        </w:rPr>
        <w:t>OBRAZLOŽENJE POSEBNOG DIJELA IZVJEŠTAJA</w:t>
      </w:r>
    </w:p>
    <w:p w:rsidR="00696D67" w:rsidRPr="00202872" w:rsidRDefault="00696D67" w:rsidP="00696D67">
      <w:pPr>
        <w:spacing w:line="360" w:lineRule="auto"/>
        <w:jc w:val="both"/>
        <w:rPr>
          <w:sz w:val="24"/>
          <w:szCs w:val="24"/>
        </w:rPr>
      </w:pPr>
      <w:r w:rsidRPr="00202872">
        <w:rPr>
          <w:sz w:val="24"/>
          <w:szCs w:val="24"/>
        </w:rPr>
        <w:t>Obzirom na programe, izvršenje Financijskog plana Osnovne škole Biograd je sljedeće:</w:t>
      </w:r>
    </w:p>
    <w:p w:rsidR="00696D67" w:rsidRDefault="00696D67" w:rsidP="00696D67">
      <w:pPr>
        <w:spacing w:line="360" w:lineRule="auto"/>
        <w:jc w:val="both"/>
      </w:pPr>
    </w:p>
    <w:tbl>
      <w:tblPr>
        <w:tblW w:w="25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33"/>
        <w:gridCol w:w="1636"/>
        <w:gridCol w:w="1557"/>
        <w:gridCol w:w="1476"/>
        <w:gridCol w:w="811"/>
        <w:gridCol w:w="7"/>
        <w:gridCol w:w="960"/>
        <w:gridCol w:w="1377"/>
        <w:gridCol w:w="1178"/>
        <w:gridCol w:w="1178"/>
        <w:gridCol w:w="1178"/>
        <w:gridCol w:w="1178"/>
        <w:gridCol w:w="1178"/>
        <w:gridCol w:w="959"/>
        <w:gridCol w:w="959"/>
        <w:gridCol w:w="959"/>
        <w:gridCol w:w="959"/>
        <w:gridCol w:w="959"/>
        <w:gridCol w:w="959"/>
        <w:gridCol w:w="959"/>
        <w:gridCol w:w="960"/>
      </w:tblGrid>
      <w:tr w:rsidR="00696D67" w:rsidRPr="00DF7616" w:rsidTr="00B52AF9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DF7616" w:rsidRDefault="00696D67" w:rsidP="00B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14417C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Izvorni plan 2022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14417C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plan 2023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14417C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Ostvarenje 2023</w:t>
            </w:r>
            <w:bookmarkStart w:id="0" w:name="_GoBack"/>
            <w:bookmarkEnd w:id="0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 (4/3)</w:t>
            </w:r>
          </w:p>
        </w:tc>
      </w:tr>
      <w:tr w:rsidR="00696D67" w:rsidRPr="00DF7616" w:rsidTr="00B52AF9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DF7616" w:rsidRDefault="00696D67" w:rsidP="00B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696D67" w:rsidRPr="00DF7616" w:rsidTr="002F0020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DF7616" w:rsidRDefault="00696D67" w:rsidP="0069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Program: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OSNOVNO</w:t>
            </w: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ŠKOLSTVO STANDARD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6D67" w:rsidRPr="00DF7616" w:rsidTr="002F0020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67" w:rsidRPr="00696D67" w:rsidRDefault="00696D6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6D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A2202-01 Djelatnost osnovnih škola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696D67" w:rsidRDefault="002F00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157.574,68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696D67" w:rsidRDefault="002F002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250.362,53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696D67" w:rsidRDefault="002F002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195.405,89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696D67" w:rsidRDefault="002F00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78,05</w:t>
            </w:r>
          </w:p>
        </w:tc>
      </w:tr>
      <w:tr w:rsidR="00696D67" w:rsidRPr="00DF7616" w:rsidTr="002F0020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DF7616" w:rsidRDefault="00D81891" w:rsidP="00B52A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T2202-03 Hitne intervencije u osnovnim školama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2.904,15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14.313,68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7.767,50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54,27</w:t>
            </w:r>
          </w:p>
        </w:tc>
      </w:tr>
      <w:tr w:rsidR="00696D67" w:rsidRPr="0089395C" w:rsidTr="002F0020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89395C" w:rsidRDefault="00696D67" w:rsidP="00D81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A220</w:t>
            </w:r>
            <w:r w:rsidR="00D818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2-04</w:t>
            </w: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Administracija i upravljanje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1.480.605,70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1.458.000,00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1.641.245,22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2F0020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112,57</w:t>
            </w:r>
          </w:p>
        </w:tc>
      </w:tr>
      <w:tr w:rsidR="00696D67" w:rsidRPr="00DF7616" w:rsidTr="002F0020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DF7616" w:rsidRDefault="00696D67" w:rsidP="00D8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Program: 220</w:t>
            </w:r>
            <w:r w:rsidR="00D81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81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OSNOVNO</w:t>
            </w: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ŠKOLSTVO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IZNAD STANDARDA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6D67" w:rsidRPr="0089395C" w:rsidTr="002F0020">
        <w:trPr>
          <w:gridAfter w:val="15"/>
          <w:wAfter w:w="15900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89395C" w:rsidRDefault="00696D67" w:rsidP="00D81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A220</w:t>
            </w:r>
            <w:r w:rsidR="00D818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-01 Javne potrebe u prrosvjeti-koris.</w:t>
            </w:r>
            <w:r w:rsidR="00D818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OŠ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4.408,00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D818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4.036,18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91,56</w:t>
            </w:r>
          </w:p>
        </w:tc>
      </w:tr>
      <w:tr w:rsidR="00D81891" w:rsidRPr="0089395C" w:rsidTr="002F0020">
        <w:trPr>
          <w:trHeight w:val="348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T2203-02 Projektna dokumentacija</w:t>
            </w:r>
            <w:r w:rsidR="00ED780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 Javne potrebe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891" w:rsidRPr="0089395C" w:rsidRDefault="00D81891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891" w:rsidRPr="0089395C" w:rsidRDefault="00D81891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891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375,00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891" w:rsidRPr="0089395C" w:rsidRDefault="00D81891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91" w:rsidRPr="0089395C" w:rsidRDefault="00D81891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96D67" w:rsidRPr="0089395C" w:rsidTr="002F0020">
        <w:trPr>
          <w:trHeight w:val="348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89395C" w:rsidRDefault="00696D67" w:rsidP="00ED78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A220</w:t>
            </w:r>
            <w:r w:rsidR="00ED780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ED780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04</w:t>
            </w: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Podizanje kvalitete i standarda u školstvu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37.767,74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77.587,88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41.619,12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ED78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96D67" w:rsidRPr="0089395C" w:rsidTr="002F0020">
        <w:trPr>
          <w:gridAfter w:val="14"/>
          <w:wAfter w:w="14940" w:type="dxa"/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89395C" w:rsidRDefault="00ED7805" w:rsidP="00ED78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A2203-14 </w:t>
            </w:r>
            <w:r w:rsidR="00696D67"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Natjecanja i smotre u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OŠ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501,16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1.459,88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1.459,88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696D67" w:rsidRPr="0089395C" w:rsidTr="002F0020">
        <w:trPr>
          <w:gridAfter w:val="16"/>
          <w:wAfter w:w="15907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89395C" w:rsidRDefault="00696D67" w:rsidP="00ED78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A220</w:t>
            </w:r>
            <w:r w:rsidR="00ED780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3-27 Ud</w:t>
            </w:r>
            <w:r w:rsidR="002028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žbenici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29.157,40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26.312,20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2028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26.007,50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98,84</w:t>
            </w:r>
          </w:p>
        </w:tc>
      </w:tr>
      <w:tr w:rsidR="00696D67" w:rsidRPr="00DF7616" w:rsidTr="002F0020">
        <w:trPr>
          <w:gridAfter w:val="16"/>
          <w:wAfter w:w="15907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DF7616" w:rsidRDefault="00696D67" w:rsidP="00B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7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Program:</w:t>
            </w:r>
            <w:r w:rsidRPr="00893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4306 Nacionalni EU projekti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DF7616" w:rsidRDefault="00696D67" w:rsidP="00202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6D67" w:rsidRPr="0089395C" w:rsidTr="002F0020">
        <w:trPr>
          <w:gridAfter w:val="16"/>
          <w:wAfter w:w="15907" w:type="dxa"/>
          <w:trHeight w:val="240"/>
        </w:trPr>
        <w:tc>
          <w:tcPr>
            <w:tcW w:w="4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D67" w:rsidRPr="0089395C" w:rsidRDefault="00696D67" w:rsidP="00B52A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93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T4306-03 Inkluzija-korak bliže društvu bez prepreka 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38.159,025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172.204,07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42.248,07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D67" w:rsidRPr="0089395C" w:rsidRDefault="00B41032" w:rsidP="00B52A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24,53</w:t>
            </w:r>
          </w:p>
        </w:tc>
      </w:tr>
    </w:tbl>
    <w:p w:rsidR="00696D67" w:rsidRDefault="00696D67" w:rsidP="00696D6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696D67" w:rsidRDefault="00696D67" w:rsidP="00696D67">
      <w:pPr>
        <w:spacing w:line="36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Program: 220</w:t>
      </w:r>
      <w:r w:rsidR="002028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2- Osnovno školstvo- standard</w:t>
      </w:r>
    </w:p>
    <w:p w:rsidR="00696D67" w:rsidRDefault="00696D67" w:rsidP="00696D67">
      <w:pPr>
        <w:spacing w:line="360" w:lineRule="auto"/>
        <w:jc w:val="both"/>
      </w:pPr>
      <w:r>
        <w:t xml:space="preserve">Redovna djelatnost financira se iz sredstava primljenih od Zadarske županije, sredstva ovise o broju učenika i razrednih odjeljenja, također o stvarnoj potrošnji za energente , naknade prijevoza </w:t>
      </w:r>
      <w:r w:rsidR="00202872">
        <w:t>učenika</w:t>
      </w:r>
      <w:r>
        <w:t xml:space="preserve">, zdravstvenih pregleda itd. Sredstva se koriste za podmirenje materijalnih rashoda za svakodnevno neometano održavanje nastave. </w:t>
      </w:r>
    </w:p>
    <w:p w:rsidR="00696D67" w:rsidRDefault="00696D67" w:rsidP="00696D67">
      <w:pPr>
        <w:spacing w:line="360" w:lineRule="auto"/>
        <w:jc w:val="both"/>
      </w:pPr>
      <w:r>
        <w:t xml:space="preserve">Opći ciljevi: Redovito podmirivanje svih troškova za što kvalitetnije i uspješnije odvijanje nastavnog procesa. </w:t>
      </w:r>
    </w:p>
    <w:p w:rsidR="00696D67" w:rsidRDefault="00696D67" w:rsidP="00696D67">
      <w:pPr>
        <w:spacing w:line="360" w:lineRule="auto"/>
        <w:jc w:val="both"/>
      </w:pPr>
      <w:r>
        <w:t xml:space="preserve">Posebni ciljevi: Uspješno i kvalitetno odvijanje nastave uz zadovoljenje svih potrebnih zahtjeva učenika i djelatnika. </w:t>
      </w:r>
    </w:p>
    <w:p w:rsidR="00696D67" w:rsidRDefault="00696D67" w:rsidP="00696D67">
      <w:pPr>
        <w:spacing w:line="360" w:lineRule="auto"/>
        <w:jc w:val="both"/>
      </w:pPr>
      <w:r>
        <w:t xml:space="preserve">Aktivnost </w:t>
      </w:r>
      <w:r w:rsidRPr="0089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A2204-07 Administracija i upravljanje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 </w:t>
      </w:r>
      <w:r>
        <w:t xml:space="preserve">obuhvaća isplate plaća, materijalnih prava i ostalih naknada zaposlenima u školi, izvor financiranja je Ministarstvo znanosti i obrazovanja. </w:t>
      </w:r>
    </w:p>
    <w:p w:rsidR="00696D67" w:rsidRDefault="00696D67" w:rsidP="00696D67">
      <w:pPr>
        <w:spacing w:line="360" w:lineRule="auto"/>
        <w:jc w:val="both"/>
      </w:pPr>
      <w:r>
        <w:t xml:space="preserve">Opći ciljevi: Podmirivanje obveza prema zaposlenicima, isplata plaća, materijalnih prava i drugih naknada. </w:t>
      </w:r>
    </w:p>
    <w:p w:rsidR="00696D67" w:rsidRDefault="00696D67" w:rsidP="00696D67">
      <w:pPr>
        <w:spacing w:line="360" w:lineRule="auto"/>
        <w:jc w:val="both"/>
      </w:pPr>
      <w:r>
        <w:lastRenderedPageBreak/>
        <w:t xml:space="preserve">Posebni ciljevi: Izvršavanje obveza i poštivanje prava zaposlenika prema temeljnom kolektivnom ugovoru. </w:t>
      </w:r>
    </w:p>
    <w:p w:rsidR="00202872" w:rsidRDefault="00202872" w:rsidP="00696D67">
      <w:pPr>
        <w:spacing w:line="360" w:lineRule="auto"/>
        <w:jc w:val="both"/>
      </w:pPr>
    </w:p>
    <w:p w:rsidR="00696D67" w:rsidRDefault="00696D67" w:rsidP="00696D6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Program: 220</w:t>
      </w:r>
      <w:r w:rsidR="0020287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3 OSNOVNO</w:t>
      </w:r>
      <w:r w:rsidRPr="00DF7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ŠKOLSTVO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- IZNAD STANDARDA</w:t>
      </w:r>
    </w:p>
    <w:p w:rsidR="00696D67" w:rsidRDefault="00696D67" w:rsidP="00696D67">
      <w:pPr>
        <w:spacing w:line="360" w:lineRule="auto"/>
        <w:jc w:val="both"/>
      </w:pPr>
      <w:r w:rsidRPr="009C7035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Program 220</w:t>
      </w:r>
      <w:r w:rsidR="00202872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  <w:r>
        <w:t>financira se iz sredstava primljenih od Zadarske županije, iz sredstava primljenih od Državnog proračuna, pomoći iz inozemstva  i od viška prihoda.</w:t>
      </w:r>
      <w:r w:rsidRPr="00625B9C">
        <w:t xml:space="preserve"> </w:t>
      </w:r>
      <w:r>
        <w:t>Program obuhvaća financiranje širih javnih potreba u školstvu.</w:t>
      </w:r>
    </w:p>
    <w:p w:rsidR="00696D67" w:rsidRDefault="00696D67" w:rsidP="00696D6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DF7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Program: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4301 Razvojni projekti EU</w:t>
      </w:r>
    </w:p>
    <w:p w:rsidR="00696D67" w:rsidRDefault="00696D67" w:rsidP="00696D67">
      <w:pPr>
        <w:spacing w:line="360" w:lineRule="auto"/>
        <w:jc w:val="both"/>
      </w:pPr>
      <w:r w:rsidRPr="009C7035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Program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4301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  <w:r>
        <w:t>financira se iz sredstava primljenih od Zadarske županije.</w:t>
      </w:r>
    </w:p>
    <w:p w:rsidR="00696D67" w:rsidRPr="00483482" w:rsidRDefault="00696D67" w:rsidP="00696D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696D67" w:rsidRDefault="00696D67" w:rsidP="00696D6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DF761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Program:</w:t>
      </w:r>
      <w:r w:rsidRPr="0089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4306 Nacionalni EU projekti</w:t>
      </w:r>
    </w:p>
    <w:p w:rsidR="00696D67" w:rsidRDefault="00696D67" w:rsidP="00696D67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</w:pPr>
      <w:r w:rsidRPr="009C7035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 xml:space="preserve">Program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4306 odnosi se na financiranje Inkluzije, tj. za obveze prema pomoćnicima u nastavi. Program je financiran od strane Zadarske županije, državnog proračuna i pomoći iz inozemstva.</w:t>
      </w:r>
    </w:p>
    <w:p w:rsidR="00696D67" w:rsidRDefault="00696D67" w:rsidP="00696D67">
      <w:pPr>
        <w:spacing w:line="360" w:lineRule="auto"/>
        <w:jc w:val="both"/>
      </w:pPr>
      <w:r>
        <w:t>Opći ciljevi: Uključivanje ili inkluzija je zahtjev koji je koncepcijski nazvan odgoj i obrazovanje za sve. Pod njim se podrazumijeva uključenost sve djece i mladih na sve razine formalnog odgojno-obrazovnog sustava.</w:t>
      </w:r>
      <w:r w:rsidRPr="00483482">
        <w:t xml:space="preserve"> </w:t>
      </w:r>
      <w:r>
        <w:t>Inkluzivno obrazovanje je koncept koji proširuje i produbljuje odgojni model integracije djece s teškoćama u razvoju u redovno školovanje.</w:t>
      </w:r>
      <w:r w:rsidRPr="005643B7">
        <w:t xml:space="preserve"> </w:t>
      </w:r>
    </w:p>
    <w:p w:rsidR="00696D67" w:rsidRDefault="00696D67" w:rsidP="00696D67">
      <w:pPr>
        <w:spacing w:line="360" w:lineRule="auto"/>
        <w:jc w:val="both"/>
      </w:pPr>
      <w:r>
        <w:t xml:space="preserve">Podmirivanje obveza prema zaposlenicima, isplata plaća, materijalnih prava i drugih naknada. </w:t>
      </w:r>
    </w:p>
    <w:p w:rsidR="00696D67" w:rsidRDefault="00696D67" w:rsidP="00696D67">
      <w:pPr>
        <w:spacing w:line="360" w:lineRule="auto"/>
        <w:jc w:val="both"/>
      </w:pPr>
      <w:r>
        <w:t xml:space="preserve">Posebni ciljevi: Izvršavanje obveza i poštivanje prava pomoćnika u nastavi. </w:t>
      </w:r>
    </w:p>
    <w:p w:rsidR="00696D67" w:rsidRPr="00696D67" w:rsidRDefault="00696D67" w:rsidP="00696D67">
      <w:pPr>
        <w:jc w:val="both"/>
        <w:rPr>
          <w:sz w:val="24"/>
          <w:szCs w:val="24"/>
        </w:rPr>
      </w:pPr>
    </w:p>
    <w:sectPr w:rsidR="00696D67" w:rsidRPr="00696D67" w:rsidSect="0050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7"/>
    <w:rsid w:val="0014417C"/>
    <w:rsid w:val="00202872"/>
    <w:rsid w:val="002F0020"/>
    <w:rsid w:val="003171A7"/>
    <w:rsid w:val="00505973"/>
    <w:rsid w:val="00531B71"/>
    <w:rsid w:val="00551030"/>
    <w:rsid w:val="00582F2F"/>
    <w:rsid w:val="00696D67"/>
    <w:rsid w:val="00836787"/>
    <w:rsid w:val="00A15957"/>
    <w:rsid w:val="00A2387A"/>
    <w:rsid w:val="00B41032"/>
    <w:rsid w:val="00C55403"/>
    <w:rsid w:val="00D41CA2"/>
    <w:rsid w:val="00D73D0A"/>
    <w:rsid w:val="00D81891"/>
    <w:rsid w:val="00E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F35DE-2492-4A45-9562-1397F11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Računovodstvo OŠ</cp:lastModifiedBy>
  <cp:revision>8</cp:revision>
  <cp:lastPrinted>2024-04-03T08:41:00Z</cp:lastPrinted>
  <dcterms:created xsi:type="dcterms:W3CDTF">2023-03-30T05:49:00Z</dcterms:created>
  <dcterms:modified xsi:type="dcterms:W3CDTF">2024-04-03T08:56:00Z</dcterms:modified>
</cp:coreProperties>
</file>